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056BB">
      <w:pPr>
        <w:spacing w:line="600" w:lineRule="exact"/>
        <w:jc w:val="center"/>
        <w:rPr>
          <w:rFonts w:hint="eastAsia" w:ascii="宋体" w:hAnsi="宋体"/>
          <w:b/>
          <w:bCs/>
          <w:color w:val="000000"/>
          <w:sz w:val="36"/>
          <w:szCs w:val="36"/>
        </w:rPr>
      </w:pPr>
      <w:r>
        <w:rPr>
          <w:rFonts w:ascii="宋体" w:hAnsi="宋体"/>
          <w:b/>
          <w:bCs/>
          <w:color w:val="000000"/>
          <w:sz w:val="36"/>
          <w:szCs w:val="36"/>
        </w:rPr>
        <w:t>南充文化旅游职业学院</w:t>
      </w:r>
    </w:p>
    <w:p w14:paraId="770BF6A8">
      <w:pPr>
        <w:spacing w:line="600" w:lineRule="exact"/>
        <w:jc w:val="center"/>
        <w:rPr>
          <w:rFonts w:hint="eastAsia" w:ascii="宋体" w:hAnsi="宋体"/>
          <w:b/>
          <w:bCs/>
          <w:color w:val="000000"/>
          <w:sz w:val="36"/>
          <w:szCs w:val="36"/>
        </w:rPr>
      </w:pPr>
      <w:r>
        <w:rPr>
          <w:rFonts w:ascii="宋体" w:hAnsi="宋体"/>
          <w:b/>
          <w:bCs/>
          <w:color w:val="000000"/>
          <w:sz w:val="36"/>
          <w:szCs w:val="36"/>
        </w:rPr>
        <w:t>202</w:t>
      </w:r>
      <w:r>
        <w:rPr>
          <w:rFonts w:hint="eastAsia" w:ascii="宋体" w:hAnsi="宋体"/>
          <w:b/>
          <w:bCs/>
          <w:color w:val="000000"/>
          <w:sz w:val="36"/>
          <w:szCs w:val="36"/>
        </w:rPr>
        <w:t>6</w:t>
      </w:r>
      <w:r>
        <w:rPr>
          <w:rFonts w:ascii="宋体" w:hAnsi="宋体"/>
          <w:b/>
          <w:bCs/>
          <w:color w:val="000000"/>
          <w:sz w:val="36"/>
          <w:szCs w:val="36"/>
        </w:rPr>
        <w:t>年度校级</w:t>
      </w:r>
      <w:r>
        <w:rPr>
          <w:rFonts w:hint="eastAsia" w:ascii="宋体" w:hAnsi="宋体"/>
          <w:b/>
          <w:bCs/>
          <w:color w:val="000000"/>
          <w:sz w:val="36"/>
          <w:szCs w:val="36"/>
        </w:rPr>
        <w:t>科研课题申报选题指南</w:t>
      </w:r>
    </w:p>
    <w:p w14:paraId="7CAF37F2">
      <w:pPr>
        <w:spacing w:line="600" w:lineRule="exact"/>
        <w:jc w:val="center"/>
        <w:rPr>
          <w:rFonts w:hint="eastAsia" w:ascii="宋体" w:hAnsi="宋体"/>
          <w:b/>
          <w:bCs/>
          <w:color w:val="000000"/>
          <w:sz w:val="36"/>
          <w:szCs w:val="36"/>
        </w:rPr>
      </w:pPr>
    </w:p>
    <w:p w14:paraId="154ABE83">
      <w:pPr>
        <w:spacing w:line="600" w:lineRule="exact"/>
        <w:jc w:val="center"/>
        <w:rPr>
          <w:rFonts w:hint="eastAsia" w:ascii="宋体" w:hAnsi="宋体"/>
          <w:color w:val="000000"/>
          <w:sz w:val="44"/>
          <w:szCs w:val="44"/>
        </w:rPr>
      </w:pPr>
    </w:p>
    <w:p w14:paraId="4455B25E">
      <w:pPr>
        <w:spacing w:line="160" w:lineRule="atLeast"/>
        <w:ind w:firstLine="560" w:firstLineChars="200"/>
        <w:rPr>
          <w:rFonts w:hint="eastAsia" w:ascii="宋体" w:hAnsi="宋体"/>
          <w:color w:val="000000"/>
          <w:sz w:val="28"/>
          <w:szCs w:val="28"/>
        </w:rPr>
      </w:pPr>
      <w:r>
        <w:rPr>
          <w:rFonts w:ascii="宋体" w:hAnsi="宋体"/>
          <w:color w:val="000000"/>
          <w:sz w:val="28"/>
          <w:szCs w:val="28"/>
        </w:rPr>
        <w:t>为深入贯彻落实南充市委“1558”工作思路，助力巴蜀特色文旅发展示范区建设、南充文旅兴市战略落地及学院“133”发展战略实施，聚焦南充四张文旅名片</w:t>
      </w:r>
      <w:r>
        <w:rPr>
          <w:rFonts w:hint="eastAsia" w:ascii="宋体" w:hAnsi="宋体"/>
          <w:color w:val="000000"/>
          <w:sz w:val="28"/>
          <w:szCs w:val="28"/>
        </w:rPr>
        <w:t>传播</w:t>
      </w:r>
      <w:r>
        <w:rPr>
          <w:rFonts w:ascii="宋体" w:hAnsi="宋体"/>
          <w:color w:val="000000"/>
          <w:sz w:val="28"/>
          <w:szCs w:val="28"/>
        </w:rPr>
        <w:t>转化，立足南充地方发展实际、职业教育</w:t>
      </w:r>
      <w:r>
        <w:rPr>
          <w:rFonts w:hint="eastAsia" w:ascii="宋体" w:hAnsi="宋体"/>
          <w:color w:val="000000"/>
          <w:sz w:val="28"/>
          <w:szCs w:val="28"/>
        </w:rPr>
        <w:t>关键难点</w:t>
      </w:r>
      <w:r>
        <w:rPr>
          <w:rFonts w:ascii="宋体" w:hAnsi="宋体"/>
          <w:color w:val="000000"/>
          <w:sz w:val="28"/>
          <w:szCs w:val="28"/>
        </w:rPr>
        <w:t>、文旅行业转型需求，结合学院专业建设需求，引导教师开展真实问题研究、强化科研成果落地转化，特制定</w:t>
      </w:r>
      <w:r>
        <w:rPr>
          <w:rFonts w:hint="eastAsia" w:ascii="宋体" w:hAnsi="宋体"/>
          <w:color w:val="000000"/>
          <w:sz w:val="28"/>
          <w:szCs w:val="28"/>
        </w:rPr>
        <w:t>2026年校级科研课题申报</w:t>
      </w:r>
      <w:r>
        <w:rPr>
          <w:rFonts w:ascii="宋体" w:hAnsi="宋体"/>
          <w:color w:val="000000"/>
          <w:sz w:val="28"/>
          <w:szCs w:val="28"/>
        </w:rPr>
        <w:t>指南</w:t>
      </w:r>
      <w:r>
        <w:rPr>
          <w:rFonts w:hint="eastAsia" w:ascii="宋体" w:hAnsi="宋体"/>
          <w:color w:val="000000"/>
          <w:sz w:val="28"/>
          <w:szCs w:val="28"/>
        </w:rPr>
        <w:t>，申报人可根据选题申报，也可参考指南自拟题目申报</w:t>
      </w:r>
      <w:r>
        <w:rPr>
          <w:rFonts w:ascii="宋体" w:hAnsi="宋体"/>
          <w:color w:val="000000"/>
          <w:sz w:val="28"/>
          <w:szCs w:val="28"/>
        </w:rPr>
        <w:t>。</w:t>
      </w:r>
    </w:p>
    <w:p w14:paraId="606EF1C6">
      <w:pPr>
        <w:spacing w:after="160" w:line="278" w:lineRule="auto"/>
        <w:ind w:firstLine="562" w:firstLineChars="200"/>
        <w:jc w:val="left"/>
        <w:rPr>
          <w:rFonts w:hint="eastAsia" w:ascii="宋体" w:hAnsi="宋体" w:cstheme="minorBidi"/>
          <w:b/>
          <w:bCs/>
          <w:sz w:val="28"/>
          <w:szCs w:val="32"/>
          <w14:ligatures w14:val="standardContextual"/>
        </w:rPr>
      </w:pPr>
      <w:bookmarkStart w:id="0" w:name="heading_0"/>
      <w:r>
        <w:rPr>
          <w:rFonts w:hint="eastAsia" w:ascii="宋体" w:hAnsi="宋体" w:cstheme="minorBidi"/>
          <w:b/>
          <w:bCs/>
          <w:sz w:val="28"/>
          <w:szCs w:val="32"/>
          <w14:ligatures w14:val="standardContextual"/>
        </w:rPr>
        <w:t>一、理论与思政研究（6项）</w:t>
      </w:r>
    </w:p>
    <w:p w14:paraId="04F97ADB">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w:t>
      </w:r>
      <w:r>
        <w:rPr>
          <w:rFonts w:ascii="宋体" w:hAnsi="宋体" w:cstheme="minorBidi"/>
          <w:sz w:val="28"/>
          <w:szCs w:val="32"/>
          <w14:ligatures w14:val="standardContextual"/>
        </w:rPr>
        <w:t>习近平</w:t>
      </w:r>
      <w:r>
        <w:rPr>
          <w:rFonts w:hint="eastAsia" w:ascii="宋体" w:hAnsi="宋体" w:cstheme="minorBidi"/>
          <w:sz w:val="28"/>
          <w:szCs w:val="32"/>
          <w14:ligatures w14:val="standardContextual"/>
        </w:rPr>
        <w:t>文化思想、习近平经济思想</w:t>
      </w:r>
      <w:r>
        <w:rPr>
          <w:rFonts w:ascii="宋体" w:hAnsi="宋体" w:cstheme="minorBidi"/>
          <w:sz w:val="28"/>
          <w:szCs w:val="32"/>
          <w14:ligatures w14:val="standardContextual"/>
        </w:rPr>
        <w:t>等新时代党的创新理论阐释与传播研究</w:t>
      </w:r>
    </w:p>
    <w:p w14:paraId="5B39B10E">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w:t>
      </w:r>
      <w:r>
        <w:rPr>
          <w:rFonts w:ascii="宋体" w:hAnsi="宋体" w:cstheme="minorBidi"/>
          <w:sz w:val="28"/>
          <w:szCs w:val="32"/>
          <w14:ligatures w14:val="standardContextual"/>
        </w:rPr>
        <w:t>习近平</w:t>
      </w:r>
      <w:r>
        <w:rPr>
          <w:rFonts w:hint="eastAsia" w:ascii="宋体" w:hAnsi="宋体" w:cstheme="minorBidi"/>
          <w:sz w:val="28"/>
          <w:szCs w:val="32"/>
          <w14:ligatures w14:val="standardContextual"/>
        </w:rPr>
        <w:t>总书记关于教育的重要论述</w:t>
      </w:r>
      <w:r>
        <w:rPr>
          <w:rFonts w:ascii="宋体" w:hAnsi="宋体" w:cstheme="minorBidi"/>
          <w:sz w:val="28"/>
          <w:szCs w:val="32"/>
          <w14:ligatures w14:val="standardContextual"/>
        </w:rPr>
        <w:t>研究</w:t>
      </w:r>
    </w:p>
    <w:p w14:paraId="2AF03AE2">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w:t>
      </w:r>
      <w:r>
        <w:rPr>
          <w:rFonts w:ascii="宋体" w:hAnsi="宋体" w:cstheme="minorBidi"/>
          <w:sz w:val="28"/>
          <w:szCs w:val="32"/>
          <w14:ligatures w14:val="standardContextual"/>
        </w:rPr>
        <w:t>铸牢中华民族共同体意识的理论逻辑与实践</w:t>
      </w:r>
      <w:r>
        <w:rPr>
          <w:rFonts w:hint="eastAsia" w:ascii="宋体" w:hAnsi="宋体" w:cstheme="minorBidi"/>
          <w:sz w:val="28"/>
          <w:szCs w:val="32"/>
          <w14:ligatures w14:val="standardContextual"/>
        </w:rPr>
        <w:t>研究</w:t>
      </w:r>
    </w:p>
    <w:p w14:paraId="16C73BBE">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4.高职院校践行总体国家安全观路径研究</w:t>
      </w:r>
    </w:p>
    <w:p w14:paraId="518283CF">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5.高职院校中“大思政课”教学建设与改革研究</w:t>
      </w:r>
    </w:p>
    <w:p w14:paraId="1FAAD033">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6.数字时代高职院校思想政治教育创新研究</w:t>
      </w:r>
    </w:p>
    <w:p w14:paraId="3B40A8D7">
      <w:pPr>
        <w:spacing w:after="160" w:line="278" w:lineRule="auto"/>
        <w:ind w:firstLine="562" w:firstLineChars="200"/>
        <w:jc w:val="left"/>
        <w:rPr>
          <w:rFonts w:hint="eastAsia" w:ascii="宋体" w:hAnsi="宋体" w:cstheme="minorBidi"/>
          <w:b/>
          <w:bCs/>
          <w:sz w:val="28"/>
          <w:szCs w:val="32"/>
          <w14:ligatures w14:val="standardContextual"/>
        </w:rPr>
      </w:pPr>
      <w:r>
        <w:rPr>
          <w:rFonts w:hint="eastAsia" w:ascii="宋体" w:hAnsi="宋体" w:cstheme="minorBidi"/>
          <w:b/>
          <w:bCs/>
          <w:sz w:val="28"/>
          <w:szCs w:val="32"/>
          <w14:ligatures w14:val="standardContextual"/>
        </w:rPr>
        <w:t>二、南充地方发展研究（</w:t>
      </w:r>
      <w:r>
        <w:rPr>
          <w:rFonts w:ascii="宋体" w:hAnsi="宋体" w:cstheme="minorBidi"/>
          <w:b/>
          <w:bCs/>
          <w:sz w:val="28"/>
          <w:szCs w:val="32"/>
          <w14:ligatures w14:val="standardContextual"/>
        </w:rPr>
        <w:t>2</w:t>
      </w:r>
      <w:r>
        <w:rPr>
          <w:rFonts w:hint="eastAsia" w:ascii="宋体" w:hAnsi="宋体" w:cstheme="minorBidi"/>
          <w:b/>
          <w:bCs/>
          <w:sz w:val="28"/>
          <w:szCs w:val="32"/>
          <w14:ligatures w14:val="standardContextual"/>
        </w:rPr>
        <w:t>0项）</w:t>
      </w:r>
      <w:bookmarkEnd w:id="0"/>
    </w:p>
    <w:p w14:paraId="3A9A038B">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选题应聚焦南充</w:t>
      </w:r>
      <w:r>
        <w:rPr>
          <w:rFonts w:ascii="宋体" w:hAnsi="宋体" w:cstheme="minorBidi"/>
          <w:sz w:val="28"/>
          <w:szCs w:val="32"/>
          <w14:ligatures w14:val="standardContextual"/>
        </w:rPr>
        <w:t>“1558”</w:t>
      </w:r>
      <w:r>
        <w:rPr>
          <w:rFonts w:hint="eastAsia" w:ascii="宋体" w:hAnsi="宋体" w:cstheme="minorBidi"/>
          <w:sz w:val="28"/>
          <w:szCs w:val="32"/>
          <w14:ligatures w14:val="standardContextual"/>
        </w:rPr>
        <w:t>工作思路落地、省域经济副中心建设等核心任务，努力破解地方发展实际难题，为地方发展提供智力支撑。</w:t>
      </w:r>
    </w:p>
    <w:p w14:paraId="4186B14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7.南充</w:t>
      </w:r>
      <w:r>
        <w:rPr>
          <w:rFonts w:ascii="宋体" w:hAnsi="宋体" w:cstheme="minorBidi"/>
          <w:sz w:val="28"/>
          <w:szCs w:val="32"/>
          <w14:ligatures w14:val="standardContextual"/>
        </w:rPr>
        <w:t>“1558”</w:t>
      </w:r>
      <w:r>
        <w:rPr>
          <w:rFonts w:hint="eastAsia" w:ascii="宋体" w:hAnsi="宋体" w:cstheme="minorBidi"/>
          <w:sz w:val="28"/>
          <w:szCs w:val="32"/>
          <w14:ligatures w14:val="standardContextual"/>
        </w:rPr>
        <w:t>工作思路下文旅产业升级赋能行动实施路径研究</w:t>
      </w:r>
    </w:p>
    <w:p w14:paraId="674AE892">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8.巴蜀特色文旅发展示范区建设中南充文旅资源整合与协同发展机制研究</w:t>
      </w:r>
    </w:p>
    <w:p w14:paraId="3FC920B3">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9.南充文旅兴市战略与工业立市、绿色优市协同融合发展研究</w:t>
      </w:r>
    </w:p>
    <w:p w14:paraId="21F84FF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10.南充建设省域经济副中心进程中文旅产业支柱化发展策略研究</w:t>
      </w:r>
    </w:p>
    <w:p w14:paraId="4E1F8D04">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11.南充城乡融合发展中乡村文旅赋能乡村振兴的模式创新研究</w:t>
      </w:r>
    </w:p>
    <w:p w14:paraId="2B71C2B3">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12.南充嘉陵江生态经济带文旅融合开发与生态保护协同路径研究</w:t>
      </w:r>
    </w:p>
    <w:p w14:paraId="46470440">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13.南充</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五区建设</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格局下高品质生活宜居区文旅配套优化研究</w:t>
      </w:r>
    </w:p>
    <w:p w14:paraId="2D7AE012">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14.南充文旅企业营商环境优化与服务保障体系构建研究</w:t>
      </w:r>
    </w:p>
    <w:p w14:paraId="5DF2DDB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15.南充重大文旅项目建设运营风险防控与效益评估研究</w:t>
      </w:r>
    </w:p>
    <w:p w14:paraId="492FB042">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16.南充非遗文化（阆中春节、丝绸技艺等）融入地方经济发展的转化路径研究</w:t>
      </w:r>
    </w:p>
    <w:p w14:paraId="4589AF77">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17.南充红色文化资源赋能地方德育与文旅融合发展研究</w:t>
      </w:r>
    </w:p>
    <w:p w14:paraId="4E1D39C0">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18.南充</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中国绸都</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丝绸源点</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品牌产业化升级与文旅融合开发研究</w:t>
      </w:r>
    </w:p>
    <w:p w14:paraId="523D6C9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19.南充</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赛事名城</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垂钓天堂</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品牌培育与文旅消费升级联动研究</w:t>
      </w:r>
    </w:p>
    <w:p w14:paraId="197ACD25">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20.南充夜间文旅消费集聚区（如阆中古城等）提质升级路径研究</w:t>
      </w:r>
    </w:p>
    <w:p w14:paraId="171CCF73">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21.南充文旅人才培养与地方产业需求精准对接机制研究</w:t>
      </w:r>
    </w:p>
    <w:p w14:paraId="474F1B6F">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22.南充县域文旅差异定位与特色发展路径研究</w:t>
      </w:r>
    </w:p>
    <w:p w14:paraId="40DC550E">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23.南充乡村民宿规范化发展与文旅融合赋能乡村振兴研究</w:t>
      </w:r>
    </w:p>
    <w:p w14:paraId="5FB7CADB">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24.南充文旅宣传推广矩阵构建与新媒体传播策略研究</w:t>
      </w:r>
    </w:p>
    <w:p w14:paraId="0B9A9EB3">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25.嘉陵江南充段文旅资源整合与特色破圈路径研究</w:t>
      </w:r>
    </w:p>
    <w:p w14:paraId="45C6E28A">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26.蜀道南充段保护策略与开发路径研究</w:t>
      </w:r>
    </w:p>
    <w:p w14:paraId="79ED93BB">
      <w:pPr>
        <w:spacing w:after="160" w:line="278" w:lineRule="auto"/>
        <w:ind w:firstLine="562" w:firstLineChars="200"/>
        <w:jc w:val="left"/>
        <w:rPr>
          <w:rFonts w:hint="eastAsia" w:ascii="宋体" w:hAnsi="宋体" w:cstheme="minorBidi"/>
          <w:b/>
          <w:bCs/>
          <w:sz w:val="28"/>
          <w:szCs w:val="32"/>
          <w14:ligatures w14:val="standardContextual"/>
        </w:rPr>
      </w:pPr>
      <w:bookmarkStart w:id="1" w:name="heading_1"/>
      <w:r>
        <w:rPr>
          <w:rFonts w:hint="eastAsia" w:ascii="宋体" w:hAnsi="宋体" w:cstheme="minorBidi"/>
          <w:b/>
          <w:bCs/>
          <w:sz w:val="28"/>
          <w:szCs w:val="32"/>
          <w14:ligatures w14:val="standardContextual"/>
        </w:rPr>
        <w:t>三、职业教育创新研究（</w:t>
      </w:r>
      <w:r>
        <w:rPr>
          <w:rFonts w:ascii="宋体" w:hAnsi="宋体" w:cstheme="minorBidi"/>
          <w:b/>
          <w:bCs/>
          <w:sz w:val="28"/>
          <w:szCs w:val="32"/>
          <w14:ligatures w14:val="standardContextual"/>
        </w:rPr>
        <w:t>1</w:t>
      </w:r>
      <w:r>
        <w:rPr>
          <w:rFonts w:hint="eastAsia" w:ascii="宋体" w:hAnsi="宋体" w:cstheme="minorBidi"/>
          <w:b/>
          <w:bCs/>
          <w:sz w:val="28"/>
          <w:szCs w:val="32"/>
          <w14:ligatures w14:val="standardContextual"/>
        </w:rPr>
        <w:t>2项）</w:t>
      </w:r>
      <w:bookmarkEnd w:id="1"/>
    </w:p>
    <w:p w14:paraId="2A4977B4">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选题应紧扣学院</w:t>
      </w:r>
      <w:r>
        <w:rPr>
          <w:rFonts w:ascii="宋体" w:hAnsi="宋体" w:cstheme="minorBidi"/>
          <w:sz w:val="28"/>
          <w:szCs w:val="32"/>
          <w14:ligatures w14:val="standardContextual"/>
        </w:rPr>
        <w:t>“133”</w:t>
      </w:r>
      <w:r>
        <w:rPr>
          <w:rFonts w:hint="eastAsia" w:ascii="宋体" w:hAnsi="宋体" w:cstheme="minorBidi"/>
          <w:sz w:val="28"/>
          <w:szCs w:val="32"/>
          <w14:ligatures w14:val="standardContextual"/>
        </w:rPr>
        <w:t>发展战略，聚焦专业建设、人才培养、教学改革、产教融合等关键问题，突出专业特色、助力内涵发展。</w:t>
      </w:r>
    </w:p>
    <w:p w14:paraId="5F81F726">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27.学院</w:t>
      </w:r>
      <w:r>
        <w:rPr>
          <w:rFonts w:ascii="宋体" w:hAnsi="宋体" w:cstheme="minorBidi"/>
          <w:sz w:val="28"/>
          <w:szCs w:val="32"/>
          <w14:ligatures w14:val="standardContextual"/>
        </w:rPr>
        <w:t>“133”</w:t>
      </w:r>
      <w:r>
        <w:rPr>
          <w:rFonts w:hint="eastAsia" w:ascii="宋体" w:hAnsi="宋体" w:cstheme="minorBidi"/>
          <w:sz w:val="28"/>
          <w:szCs w:val="32"/>
          <w14:ligatures w14:val="standardContextual"/>
        </w:rPr>
        <w:t>发展战略实施路径与特色品牌创建研究</w:t>
      </w:r>
    </w:p>
    <w:p w14:paraId="17F366F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28.职业教育提档升级背景下文旅类高职院校核心竞争力提升策略研究</w:t>
      </w:r>
    </w:p>
    <w:p w14:paraId="6FC0E1DF">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29.学院</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党建领航工程</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与立德树人深度融合实践研究</w:t>
      </w:r>
    </w:p>
    <w:p w14:paraId="55A61C4D">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30.学院</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名师名校工程</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与中青年教师能力提升研究</w:t>
      </w:r>
    </w:p>
    <w:p w14:paraId="60988C37">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31.学院</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文旅英才工程</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与地方人才需求的适配性研究</w:t>
      </w:r>
    </w:p>
    <w:p w14:paraId="5747F67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32.产教融合视域下校企协同育人模式创新研究</w:t>
      </w:r>
    </w:p>
    <w:p w14:paraId="7EC62C6E">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33.</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岗课赛证</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融合视域下的教学改革与实践路径研究</w:t>
      </w:r>
    </w:p>
    <w:p w14:paraId="13A380EF">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34.高职专业实践教学体系与地方发展需求适配性研究</w:t>
      </w:r>
    </w:p>
    <w:p w14:paraId="029605CD">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35.数字化转型背景下高职院校智慧教学平台建设与应用研究</w:t>
      </w:r>
    </w:p>
    <w:p w14:paraId="4810A97A">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36.高职院校科研团队建设与地方产业发展需求适配性研究</w:t>
      </w:r>
    </w:p>
    <w:p w14:paraId="62ABE55A">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37.高职院校毕业生本地就业实践研究</w:t>
      </w:r>
    </w:p>
    <w:p w14:paraId="4D6DC2B0">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38.高职院校参与地方非遗资源转化与传播实践研究</w:t>
      </w:r>
    </w:p>
    <w:p w14:paraId="42427BFF">
      <w:pPr>
        <w:spacing w:after="160" w:line="278" w:lineRule="auto"/>
        <w:ind w:firstLine="562" w:firstLineChars="200"/>
        <w:jc w:val="left"/>
        <w:rPr>
          <w:rFonts w:hint="eastAsia" w:ascii="宋体" w:hAnsi="宋体" w:cstheme="minorBidi"/>
          <w:b/>
          <w:bCs/>
          <w:sz w:val="28"/>
          <w:szCs w:val="32"/>
          <w14:ligatures w14:val="standardContextual"/>
        </w:rPr>
      </w:pPr>
      <w:bookmarkStart w:id="2" w:name="heading_2"/>
      <w:r>
        <w:rPr>
          <w:rFonts w:hint="eastAsia" w:ascii="宋体" w:hAnsi="宋体" w:cstheme="minorBidi"/>
          <w:b/>
          <w:bCs/>
          <w:sz w:val="28"/>
          <w:szCs w:val="32"/>
          <w14:ligatures w14:val="standardContextual"/>
        </w:rPr>
        <w:t>四、文旅行业发展研究（</w:t>
      </w:r>
      <w:r>
        <w:rPr>
          <w:rFonts w:ascii="宋体" w:hAnsi="宋体" w:cstheme="minorBidi"/>
          <w:b/>
          <w:bCs/>
          <w:sz w:val="28"/>
          <w:szCs w:val="32"/>
          <w14:ligatures w14:val="standardContextual"/>
        </w:rPr>
        <w:t>20</w:t>
      </w:r>
      <w:r>
        <w:rPr>
          <w:rFonts w:hint="eastAsia" w:ascii="宋体" w:hAnsi="宋体" w:cstheme="minorBidi"/>
          <w:b/>
          <w:bCs/>
          <w:sz w:val="28"/>
          <w:szCs w:val="32"/>
          <w14:ligatures w14:val="standardContextual"/>
        </w:rPr>
        <w:t>项）</w:t>
      </w:r>
      <w:bookmarkEnd w:id="2"/>
    </w:p>
    <w:p w14:paraId="0B9BB4D7">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选题应围绕南充四张文旅名片（世界古城</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春节原乡、将帅故里</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红色南充、中国绸都</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丝绸源点、赛事名城</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垂钓天堂），结合南充文旅产业实际，聚焦文旅行业新业态、新模式、新场景，破解行业转型痛点。</w:t>
      </w:r>
    </w:p>
    <w:p w14:paraId="6F754F5B">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39.阆中古城保护开发与</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世界古城</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春节原乡</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品牌价值提升研究</w:t>
      </w:r>
    </w:p>
    <w:p w14:paraId="0272393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40.春节文化</w:t>
      </w:r>
      <w:r>
        <w:rPr>
          <w:rFonts w:ascii="宋体" w:hAnsi="宋体" w:cstheme="minorBidi"/>
          <w:sz w:val="28"/>
          <w:szCs w:val="32"/>
          <w14:ligatures w14:val="standardContextual"/>
        </w:rPr>
        <w:t>IP</w:t>
      </w:r>
      <w:r>
        <w:rPr>
          <w:rFonts w:hint="eastAsia" w:ascii="宋体" w:hAnsi="宋体" w:cstheme="minorBidi"/>
          <w:sz w:val="28"/>
          <w:szCs w:val="32"/>
          <w14:ligatures w14:val="standardContextual"/>
        </w:rPr>
        <w:t>全球化传播与南充文旅国际化发展策略研究</w:t>
      </w:r>
    </w:p>
    <w:p w14:paraId="7308CC43">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41.</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将帅故里</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红色南充</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红色文旅资源活化利用路径研究</w:t>
      </w:r>
    </w:p>
    <w:p w14:paraId="339120C7">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42.南充红色文旅与研学旅行融合发展产品设计与推广研究</w:t>
      </w:r>
    </w:p>
    <w:p w14:paraId="61A33534">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43.南充丝绸文化非遗传承与</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文旅</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丝绸</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新业态开发研究</w:t>
      </w:r>
    </w:p>
    <w:p w14:paraId="4D3CED99">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44.丝绸主题文创产品创新设计与网络传播研究</w:t>
      </w:r>
    </w:p>
    <w:p w14:paraId="3573DB07">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45.</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赛事名城</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垂钓天堂</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品牌培育与体育文旅融合发展研究</w:t>
      </w:r>
    </w:p>
    <w:p w14:paraId="38A66A38">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46.南充文旅消费升级背景下酒店个性化服</w:t>
      </w:r>
      <w:bookmarkStart w:id="3" w:name="_GoBack"/>
      <w:bookmarkEnd w:id="3"/>
      <w:r>
        <w:rPr>
          <w:rFonts w:hint="eastAsia" w:ascii="宋体" w:hAnsi="宋体" w:cstheme="minorBidi"/>
          <w:sz w:val="28"/>
          <w:szCs w:val="32"/>
          <w14:ligatures w14:val="standardContextual"/>
        </w:rPr>
        <w:t>务模式创新研究</w:t>
      </w:r>
    </w:p>
    <w:p w14:paraId="6345B58B">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47.数字化与人工智能技术在南充文旅场景中的应用与创新研究</w:t>
      </w:r>
    </w:p>
    <w:p w14:paraId="04526F1D">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48.南充文旅文创产业集群培育与产业链延伸策略研究</w:t>
      </w:r>
    </w:p>
    <w:p w14:paraId="697D684D">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49.巴蜀文化旅游走廊建设中南充文旅差异化发展与协同联动研究</w:t>
      </w:r>
    </w:p>
    <w:p w14:paraId="0B1737BB">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50.南充酒店行业服务质量提升与标准化体系建设研究</w:t>
      </w:r>
    </w:p>
    <w:p w14:paraId="14C1A7AD">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51.生态保护优先背景下南充文旅绿色低碳发展路径研究</w:t>
      </w:r>
    </w:p>
    <w:p w14:paraId="644A47CD">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52.南充研学旅行基地建设与课程体系开发研究</w:t>
      </w:r>
    </w:p>
    <w:p w14:paraId="10B166E8">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53.电子商务视角下的南充文旅直播模式创新与效能提升研究</w:t>
      </w:r>
    </w:p>
    <w:p w14:paraId="00C5872F">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54.南充酒店智能化转型与服务效率提升路径研究</w:t>
      </w:r>
    </w:p>
    <w:p w14:paraId="34DFD2B1">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55.南充基层文化场馆文旅融合运营模式创新研究</w:t>
      </w:r>
    </w:p>
    <w:p w14:paraId="09A2A81F">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56.南充文旅行业从业人员专业素养提升路径与培训体系研究</w:t>
      </w:r>
    </w:p>
    <w:p w14:paraId="401867BE">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57.</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文旅</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康养</w:t>
      </w:r>
      <w:r>
        <w:rPr>
          <w:rFonts w:ascii="宋体" w:hAnsi="宋体" w:cstheme="minorBidi"/>
          <w:sz w:val="28"/>
          <w:szCs w:val="32"/>
          <w14:ligatures w14:val="standardContextual"/>
        </w:rPr>
        <w:t>”</w:t>
      </w:r>
      <w:r>
        <w:rPr>
          <w:rFonts w:hint="eastAsia" w:ascii="宋体" w:hAnsi="宋体" w:cstheme="minorBidi"/>
          <w:sz w:val="28"/>
          <w:szCs w:val="32"/>
          <w14:ligatures w14:val="standardContextual"/>
        </w:rPr>
        <w:t>业态下南充乡村康养旅游产品开发研究</w:t>
      </w:r>
    </w:p>
    <w:p w14:paraId="53DB03A4">
      <w:pPr>
        <w:spacing w:after="160" w:line="278" w:lineRule="auto"/>
        <w:ind w:firstLine="560" w:firstLineChars="200"/>
        <w:jc w:val="left"/>
        <w:rPr>
          <w:rFonts w:hint="eastAsia" w:ascii="宋体" w:hAnsi="宋体" w:cstheme="minorBidi"/>
          <w:sz w:val="28"/>
          <w:szCs w:val="32"/>
          <w14:ligatures w14:val="standardContextual"/>
        </w:rPr>
      </w:pPr>
      <w:r>
        <w:rPr>
          <w:rFonts w:hint="eastAsia" w:ascii="宋体" w:hAnsi="宋体" w:cstheme="minorBidi"/>
          <w:sz w:val="28"/>
          <w:szCs w:val="32"/>
          <w14:ligatures w14:val="standardContextual"/>
        </w:rPr>
        <w:t>58.南充文旅品牌</w:t>
      </w:r>
      <w:r>
        <w:rPr>
          <w:rFonts w:ascii="宋体" w:hAnsi="宋体" w:cstheme="minorBidi"/>
          <w:sz w:val="28"/>
          <w:szCs w:val="32"/>
          <w14:ligatures w14:val="standardContextual"/>
        </w:rPr>
        <w:t>IP</w:t>
      </w:r>
      <w:r>
        <w:rPr>
          <w:rFonts w:hint="eastAsia" w:ascii="宋体" w:hAnsi="宋体" w:cstheme="minorBidi"/>
          <w:sz w:val="28"/>
          <w:szCs w:val="32"/>
          <w14:ligatures w14:val="standardContextual"/>
        </w:rPr>
        <w:t>打造与衍生品开发研究</w:t>
      </w:r>
    </w:p>
    <w:sectPr>
      <w:footerReference r:id="rId3" w:type="default"/>
      <w:pgSz w:w="11906" w:h="16838"/>
      <w:pgMar w:top="1701" w:right="1134" w:bottom="124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42FE">
    <w:pPr>
      <w:pStyle w:val="6"/>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7C6B62F">
                          <w:pPr>
                            <w:pStyle w:val="6"/>
                            <w:tabs>
                              <w:tab w:val="clear" w:pos="4153"/>
                              <w:tab w:val="clear" w:pos="8306"/>
                            </w:tabs>
                          </w:pPr>
                          <w:r>
                            <w:fldChar w:fldCharType="begin"/>
                          </w:r>
                          <w:r>
                            <w:instrText xml:space="preserve"> PAGE  \* MERGEFORMAT </w:instrText>
                          </w:r>
                          <w:r>
                            <w:fldChar w:fldCharType="separate"/>
                          </w:r>
                          <w:r>
                            <w:t>1</w:t>
                          </w:r>
                          <w:r>
                            <w:fldChar w:fldCharType="end"/>
                          </w:r>
                        </w:p>
                        <w:p w14:paraId="4D482514"/>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bRAFC&#10;sAEAAHYDAAAOAAAAAAAAAAEAIAAAACIBAABkcnMvZTJvRG9jLnhtbFBLBQYAAAAABgAGAFkBAABE&#10;BQAAAAA=&#10;">
              <v:fill on="f" focussize="0,0"/>
              <v:stroke on="f"/>
              <v:imagedata o:title=""/>
              <o:lock v:ext="edit" aspectratio="f"/>
              <v:textbox inset="0mm,0mm,0mm,0mm">
                <w:txbxContent>
                  <w:p w14:paraId="67C6B62F">
                    <w:pPr>
                      <w:pStyle w:val="6"/>
                      <w:tabs>
                        <w:tab w:val="clear" w:pos="4153"/>
                        <w:tab w:val="clear" w:pos="8306"/>
                      </w:tabs>
                    </w:pPr>
                    <w:r>
                      <w:fldChar w:fldCharType="begin"/>
                    </w:r>
                    <w:r>
                      <w:instrText xml:space="preserve"> PAGE  \* MERGEFORMAT </w:instrText>
                    </w:r>
                    <w:r>
                      <w:fldChar w:fldCharType="separate"/>
                    </w:r>
                    <w:r>
                      <w:t>1</w:t>
                    </w:r>
                    <w:r>
                      <w:fldChar w:fldCharType="end"/>
                    </w:r>
                  </w:p>
                  <w:p w14:paraId="4D482514"/>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iNmU1YmUwMTkwY2Q3NDY2Y2U1YWRlZGVhYmQ0ZjIifQ=="/>
  </w:docVars>
  <w:rsids>
    <w:rsidRoot w:val="52B562A5"/>
    <w:rsid w:val="00030B0F"/>
    <w:rsid w:val="000A7F94"/>
    <w:rsid w:val="000F185B"/>
    <w:rsid w:val="00193356"/>
    <w:rsid w:val="00194AAE"/>
    <w:rsid w:val="001D4471"/>
    <w:rsid w:val="0030174E"/>
    <w:rsid w:val="003068A8"/>
    <w:rsid w:val="003115BB"/>
    <w:rsid w:val="00335513"/>
    <w:rsid w:val="004A3D91"/>
    <w:rsid w:val="004A66A6"/>
    <w:rsid w:val="00530207"/>
    <w:rsid w:val="00714A2F"/>
    <w:rsid w:val="00781AF9"/>
    <w:rsid w:val="00942080"/>
    <w:rsid w:val="00B4368B"/>
    <w:rsid w:val="00B43FB2"/>
    <w:rsid w:val="00BE5673"/>
    <w:rsid w:val="00C0291C"/>
    <w:rsid w:val="00D34006"/>
    <w:rsid w:val="00DD5AA2"/>
    <w:rsid w:val="00DD773F"/>
    <w:rsid w:val="00E15DE2"/>
    <w:rsid w:val="00FF66A6"/>
    <w:rsid w:val="317546D7"/>
    <w:rsid w:val="4C016D59"/>
    <w:rsid w:val="52B562A5"/>
    <w:rsid w:val="6ACC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customStyle="1" w:styleId="6">
    <w:name w:val="页脚1"/>
    <w:basedOn w:val="1"/>
    <w:qFormat/>
    <w:uiPriority w:val="0"/>
    <w:pPr>
      <w:tabs>
        <w:tab w:val="center" w:pos="4153"/>
        <w:tab w:val="right" w:pos="8306"/>
      </w:tabs>
      <w:snapToGrid w:val="0"/>
      <w:jc w:val="left"/>
    </w:pPr>
    <w:rPr>
      <w:sz w:val="18"/>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1885</Words>
  <Characters>2018</Characters>
  <Lines>14</Lines>
  <Paragraphs>4</Paragraphs>
  <TotalTime>590</TotalTime>
  <ScaleCrop>false</ScaleCrop>
  <LinksUpToDate>false</LinksUpToDate>
  <CharactersWithSpaces>2018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2026-05-07T03:27:00Z</dcterms:created>
  <dc:creator>俞</dc:creator>
  <cp:lastModifiedBy>Maple   tree           </cp:lastModifiedBy>
  <cp:lastPrinted>2026-05-08T01:09:00Z</cp:lastPrinted>
  <dcterms:modified xsi:type="dcterms:W3CDTF">2026-05-08T09:30:14Z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2EAA5B011B1C4C04A595660AF0183653_11</vt:lpwstr>
  </property>
  <property fmtid="{D5CDD505-2E9C-101B-9397-08002B2CF9AE}" pid="4" name="KSOTemplateDocerSaveRecord">
    <vt:lpwstr>eyJoZGlkIjoiN2QwMjliOTU5ODAwZmQwMzk2MjM4YjYyNjAwMTk4NWUiLCJ1c2VySWQiOiIyODYzODAwNDYifQ==</vt:lpwstr>
  </property>
</Properties>
</file>